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b w:val="1"/>
          <w:color w:val="000000"/>
          <w:sz w:val="24"/>
          <w:szCs w:val="24"/>
          <w:rtl w:val="0"/>
        </w:rPr>
        <w:t xml:space="preserve">WELCOMING COMMUNITIES - BRANDON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Introduction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Manitoba is recognized as a multicultural society with an ethno-culturally diverse population which acknowledges demographic realities. This makes the cities in this province a composition of complex urban centres. Representations of diverse populations in the demographic structure of Manitoba have been expanding consistently (Distasio &amp; Kaufman, 2015). Undoubtedly, we in an age of increasing migration - from the 2016 census results, Manitoba was the third fastest growing province between 2011 and 2016, following Alberta and Saskatchewan. Further to this, Statistics Canada indicated that while in the early 2000s 2.5% of all new Canadians became Manitobans, that proportion has increased to 5 - 6% in recent years (CBC, 2017).</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implications are differences in socio-economic status, different communities and </w:t>
      </w:r>
      <w:r w:rsidDel="00000000" w:rsidR="00000000" w:rsidRPr="00000000">
        <w:rPr>
          <w:rFonts w:ascii="Times New Roman" w:cs="Times New Roman" w:eastAsia="Times New Roman" w:hAnsi="Times New Roman"/>
          <w:sz w:val="24"/>
          <w:szCs w:val="24"/>
          <w:rtl w:val="0"/>
        </w:rPr>
        <w:t xml:space="preserve">neighbourhoods</w:t>
      </w:r>
      <w:r w:rsidDel="00000000" w:rsidR="00000000" w:rsidRPr="00000000">
        <w:rPr>
          <w:rFonts w:ascii="Times New Roman" w:cs="Times New Roman" w:eastAsia="Times New Roman" w:hAnsi="Times New Roman"/>
          <w:color w:val="000000"/>
          <w:sz w:val="24"/>
          <w:szCs w:val="24"/>
          <w:rtl w:val="0"/>
        </w:rPr>
        <w:t xml:space="preserve">, different levels of access to opportunities embedded in racial and ethnic status as well as the undeniable social exclusion and pressure that newcomers, immigrants and Indigenous population deal with on a regular basis.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Shelters and their purpose for their community</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Organizational change is essential for shelters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from various religious orientations. Such a change in no doubt will be a journey for shelters as integrating and adjusting to new cultural and ethnic norms requires much flexibility, respect, tolerance and understanding.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Having a basic understanding of why there are ongoing problems with some relational aspects and client service delivery for indigenous groups, immigrants, newcomers, persons with disabilities or and from various religious orientations because of existing negative stereotypes/ misrepresentations, racism and inequality is only a first step towards changing attitudes, behaviors and organizational commitment by shelter employers and employees (Ghorayshi, 2010).</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Who makes up my community?</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ff0000"/>
          <w:sz w:val="24"/>
          <w:szCs w:val="24"/>
        </w:rPr>
      </w:pPr>
      <w:r w:rsidDel="00000000" w:rsidR="00000000" w:rsidRPr="00000000">
        <w:rPr>
          <w:rtl w:val="0"/>
        </w:rPr>
      </w:r>
    </w:p>
    <w:tbl>
      <w:tblPr>
        <w:tblStyle w:val="Table1"/>
        <w:tblW w:w="9972.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1764"/>
        <w:gridCol w:w="1764"/>
        <w:gridCol w:w="1764"/>
        <w:tblGridChange w:id="0">
          <w:tblGrid>
            <w:gridCol w:w="4680"/>
            <w:gridCol w:w="1764"/>
            <w:gridCol w:w="1764"/>
            <w:gridCol w:w="1764"/>
          </w:tblGrid>
        </w:tblGridChange>
      </w:tblGrid>
      <w:tr>
        <w:trPr>
          <w:cantSplit w:val="0"/>
          <w:tblHeader w:val="1"/>
        </w:trPr>
        <w:tc>
          <w:tcPr/>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DEMOGRAPY</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MALE</w:t>
            </w:r>
          </w:p>
        </w:tc>
        <w:tc>
          <w:tcPr/>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FEMALE</w:t>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Gender</w:t>
            </w:r>
          </w:p>
        </w:tc>
        <w:tc>
          <w:tcPr/>
          <w:p w:rsidR="00000000" w:rsidDel="00000000" w:rsidP="00000000" w:rsidRDefault="00000000" w:rsidRPr="00000000" w14:paraId="00000015">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48,859</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orientation</w:t>
            </w:r>
          </w:p>
        </w:tc>
        <w:tc>
          <w:tcPr/>
          <w:p w:rsidR="00000000" w:rsidDel="00000000" w:rsidP="00000000" w:rsidRDefault="00000000" w:rsidRPr="00000000" w14:paraId="00000019">
            <w:pPr>
              <w:jc w:val="center"/>
              <w:rPr/>
            </w:pPr>
            <w:r w:rsidDel="00000000" w:rsidR="00000000" w:rsidRPr="00000000">
              <w:rPr>
                <w:rtl w:val="0"/>
              </w:rPr>
              <w:t xml:space="preserve">-</w:t>
            </w:r>
          </w:p>
        </w:tc>
        <w:tc>
          <w:tcPr/>
          <w:p w:rsidR="00000000" w:rsidDel="00000000" w:rsidP="00000000" w:rsidRDefault="00000000" w:rsidRPr="00000000" w14:paraId="0000001A">
            <w:pPr>
              <w:jc w:val="center"/>
              <w:rPr/>
            </w:pPr>
            <w:r w:rsidDel="00000000" w:rsidR="00000000" w:rsidRPr="00000000">
              <w:rPr>
                <w:rtl w:val="0"/>
              </w:rPr>
              <w:t xml:space="preserve">-</w:t>
            </w:r>
          </w:p>
        </w:tc>
        <w:tc>
          <w:tcPr/>
          <w:p w:rsidR="00000000" w:rsidDel="00000000" w:rsidP="00000000" w:rsidRDefault="00000000" w:rsidRPr="00000000" w14:paraId="0000001B">
            <w:pPr>
              <w:jc w:val="center"/>
              <w:rPr/>
            </w:pPr>
            <w:r w:rsidDel="00000000" w:rsidR="00000000" w:rsidRPr="00000000">
              <w:rPr>
                <w:rtl w:val="0"/>
              </w:rPr>
              <w:t xml:space="preserve">-</w:t>
            </w:r>
          </w:p>
        </w:tc>
      </w:tr>
      <w:tr>
        <w:trPr>
          <w:cantSplit w:val="0"/>
          <w:tblHeader w:val="0"/>
        </w:trPr>
        <w:tc>
          <w:tcPr>
            <w:gridSpan w:val="4"/>
            <w:shd w:fill="d9d9d9" w:val="clear"/>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w:t>
            </w: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to 14 years</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9,270</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4,740</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4,535</w:t>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to 29 years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10,430</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5,065</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5,360</w:t>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to 44 years</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10,535</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5,260</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7,150</w:t>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to 64 years</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11,090</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5,365</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4,330</w:t>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years and over</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7,535</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3,110</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4,425</w:t>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years and over</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1,395</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445</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950</w:t>
            </w:r>
          </w:p>
        </w:tc>
      </w:tr>
      <w:tr>
        <w:trPr>
          <w:cantSplit w:val="0"/>
          <w:tblHeader w:val="0"/>
        </w:trPr>
        <w:tc>
          <w:tcPr>
            <w:gridSpan w:val="4"/>
            <w:shd w:fill="d9d9d9" w:val="clear"/>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Relationship status</w:t>
            </w: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Married</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18,015</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9,035</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8,980</w:t>
            </w:r>
          </w:p>
        </w:tc>
      </w:tr>
      <w:tr>
        <w:trPr>
          <w:cantSplit w:val="0"/>
          <w:tblHeader w:val="0"/>
        </w:trPr>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common law</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4,085</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2,055</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2,030</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married</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11,490</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5,930</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5,555</w:t>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Separated</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985</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425</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565</w:t>
            </w:r>
          </w:p>
        </w:tc>
      </w:tr>
      <w:tr>
        <w:trPr>
          <w:cantSplit w:val="0"/>
          <w:tblHeader w:val="0"/>
        </w:trPr>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Divorced</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2,470</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1,580</w:t>
            </w:r>
          </w:p>
        </w:tc>
      </w:tr>
      <w:tr>
        <w:trPr>
          <w:cantSplit w:val="0"/>
          <w:tblHeader w:val="0"/>
        </w:trPr>
        <w:tc>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Widowed</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2,540</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455</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2,080</w:t>
            </w:r>
          </w:p>
        </w:tc>
      </w:tr>
      <w:tr>
        <w:trPr>
          <w:cantSplit w:val="0"/>
          <w:tblHeader w:val="0"/>
        </w:trPr>
        <w:tc>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blHeader w:val="0"/>
        </w:trPr>
        <w:tc>
          <w:tcPr>
            <w:gridSpan w:val="4"/>
            <w:shd w:fill="d9d9d9" w:val="clear"/>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Continent of origin</w:t>
            </w:r>
            <w:r w:rsidDel="00000000" w:rsidR="00000000" w:rsidRPr="00000000">
              <w:rPr>
                <w:rFonts w:ascii="Times New Roman" w:cs="Times New Roman" w:eastAsia="Times New Roman" w:hAnsi="Times New Roman"/>
                <w:b w:val="1"/>
                <w:sz w:val="24"/>
                <w:szCs w:val="24"/>
                <w:vertAlign w:val="superscript"/>
              </w:rPr>
              <w:footnoteReference w:customMarkFollows="0" w:id="2"/>
            </w: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Americas </w:t>
              <w:tab/>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2,305</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1,130</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1,180</w:t>
            </w:r>
          </w:p>
        </w:tc>
      </w:tr>
      <w:tr>
        <w:trPr>
          <w:cantSplit w:val="0"/>
          <w:tblHeader w:val="0"/>
        </w:trPr>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 </w:t>
              <w:tab/>
              <w:tab/>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1,360</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670</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690</w:t>
            </w:r>
          </w:p>
        </w:tc>
      </w:tr>
      <w:tr>
        <w:trPr>
          <w:cantSplit w:val="0"/>
          <w:tblHeader w:val="0"/>
        </w:trPr>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Africa </w:t>
              <w:tab/>
              <w:tab/>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875</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490</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385</w:t>
            </w:r>
          </w:p>
        </w:tc>
      </w:tr>
      <w:tr>
        <w:trPr>
          <w:cantSplit w:val="0"/>
          <w:tblHeader w:val="0"/>
        </w:trPr>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 </w:t>
              <w:tab/>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3,010</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1,535</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1,470</w:t>
            </w:r>
          </w:p>
        </w:tc>
      </w:tr>
      <w:tr>
        <w:trPr>
          <w:cantSplit w:val="0"/>
          <w:tblHeader w:val="0"/>
        </w:trPr>
        <w:tc>
          <w:tcPr/>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Aboriginal self-identification</w:t>
            </w:r>
            <w:r w:rsidDel="00000000" w:rsidR="00000000" w:rsidRPr="00000000">
              <w:rPr>
                <w:rFonts w:ascii="Times New Roman" w:cs="Times New Roman" w:eastAsia="Times New Roman" w:hAnsi="Times New Roman"/>
                <w:b w:val="1"/>
                <w:sz w:val="24"/>
                <w:szCs w:val="24"/>
                <w:vertAlign w:val="superscript"/>
              </w:rPr>
              <w:footnoteReference w:customMarkFollows="0" w:id="3"/>
            </w: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47,560</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23,040</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24,525</w:t>
            </w:r>
          </w:p>
        </w:tc>
      </w:tr>
      <w:tr>
        <w:trPr>
          <w:cantSplit w:val="0"/>
          <w:tblHeader w:val="0"/>
        </w:trPr>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Immigrants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7,570</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3,825</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3,740</w:t>
            </w:r>
          </w:p>
        </w:tc>
      </w:tr>
      <w:tr>
        <w:trPr>
          <w:cantSplit w:val="0"/>
          <w:tblHeader w:val="0"/>
        </w:trPr>
        <w:tc>
          <w:tcPr/>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Citizenship</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Canadian citizens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 Not Canadian citizens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47,560</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42,210 : 5,350 </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23,035</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24,520</w:t>
            </w:r>
          </w:p>
        </w:tc>
      </w:tr>
      <w:tr>
        <w:trPr>
          <w:cantSplit w:val="0"/>
          <w:tblHeader w:val="0"/>
        </w:trPr>
        <w:tc>
          <w:tcPr>
            <w:gridSpan w:val="4"/>
            <w:shd w:fill="d9d9d9" w:val="cle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Religion</w:t>
            </w:r>
            <w:r w:rsidDel="00000000" w:rsidR="00000000" w:rsidRPr="00000000">
              <w:rPr>
                <w:rFonts w:ascii="Times New Roman" w:cs="Times New Roman" w:eastAsia="Times New Roman" w:hAnsi="Times New Roman"/>
                <w:b w:val="1"/>
                <w:sz w:val="24"/>
                <w:szCs w:val="24"/>
                <w:vertAlign w:val="superscript"/>
              </w:rPr>
              <w:footnoteReference w:customMarkFollows="0" w:id="7"/>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18"/>
                <w:szCs w:val="18"/>
                <w:rtl w:val="0"/>
              </w:rPr>
              <w:t xml:space="preserve">*</w:t>
            </w:r>
            <w:r w:rsidDel="00000000" w:rsidR="00000000" w:rsidRPr="00000000">
              <w:rPr>
                <w:rFonts w:ascii="Times New Roman" w:cs="Times New Roman" w:eastAsia="Times New Roman" w:hAnsi="Times New Roman"/>
                <w:i w:val="1"/>
                <w:sz w:val="18"/>
                <w:szCs w:val="18"/>
                <w:rtl w:val="0"/>
              </w:rPr>
              <w:t xml:space="preserve">based on NHS (2011)</w:t>
            </w:r>
            <w:r w:rsidDel="00000000" w:rsidR="00000000" w:rsidRPr="00000000">
              <w:rPr>
                <w:rtl w:val="0"/>
              </w:rPr>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Buddhist</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 </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28,860</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12,915</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15,945</w:t>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Hindu </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235</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Jewish </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Muslim </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135</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w:t>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Sikh</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tc>
      </w:tr>
      <w:tr>
        <w:trPr>
          <w:cantSplit w:val="0"/>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Traditional (Aboriginal) Spirituality </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210</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w:t>
            </w:r>
          </w:p>
        </w:tc>
      </w:tr>
      <w:tr>
        <w:trPr>
          <w:cantSplit w:val="0"/>
          <w:tblHeader w:val="0"/>
        </w:trPr>
        <w:tc>
          <w:tcPr/>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religions </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185</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0"/>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religious affiliation </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14,925</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8,020</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6,900</w:t>
            </w:r>
          </w:p>
        </w:tc>
      </w:tr>
      <w:tr>
        <w:trPr>
          <w:cantSplit w:val="0"/>
          <w:tblHeader w:val="0"/>
        </w:trPr>
        <w:tc>
          <w:tcPr>
            <w:gridSpan w:val="4"/>
            <w:shd w:fill="d9d9d9" w:val="clear"/>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Visible minority</w:t>
            </w:r>
            <w:r w:rsidDel="00000000" w:rsidR="00000000" w:rsidRPr="00000000">
              <w:rPr>
                <w:rFonts w:ascii="Times New Roman" w:cs="Times New Roman" w:eastAsia="Times New Roman" w:hAnsi="Times New Roman"/>
                <w:b w:val="1"/>
                <w:sz w:val="24"/>
                <w:szCs w:val="24"/>
                <w:vertAlign w:val="superscript"/>
              </w:rPr>
              <w:footnoteReference w:customMarkFollows="0" w:id="8"/>
            </w:r>
            <w:r w:rsidDel="00000000" w:rsidR="00000000" w:rsidRPr="00000000">
              <w:rPr>
                <w:rtl w:val="0"/>
              </w:rPr>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South Asian</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1,430</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785</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645</w:t>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Chinese </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1,785</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875</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w:t>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Black </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555</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445</w:t>
            </w:r>
          </w:p>
        </w:tc>
      </w:tr>
      <w:tr>
        <w:trPr>
          <w:cantSplit w:val="0"/>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Filipino </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520</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235</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285</w:t>
            </w:r>
          </w:p>
        </w:tc>
      </w:tr>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Latin American </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2,370</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1,180</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1,190</w:t>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Arab </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125</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w:t>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Southeast Asian </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tc>
      </w:tr>
      <w:tr>
        <w:trPr>
          <w:cantSplit w:val="0"/>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West Asian </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Korean </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135</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r>
      <w:tr>
        <w:trPr>
          <w:cantSplit w:val="0"/>
          <w:tblHeader w:val="0"/>
        </w:trPr>
        <w:tc>
          <w:tcPr/>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Japanese </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Visible minority, n.i.e</w:t>
            </w:r>
            <w:r w:rsidDel="00000000" w:rsidR="00000000" w:rsidRPr="00000000">
              <w:rPr>
                <w:rFonts w:ascii="Times New Roman" w:cs="Times New Roman" w:eastAsia="Times New Roman" w:hAnsi="Times New Roman"/>
                <w:color w:val="000000"/>
                <w:sz w:val="24"/>
                <w:szCs w:val="24"/>
                <w:vertAlign w:val="superscript"/>
              </w:rPr>
              <w:footnoteReference w:customMarkFollows="0" w:id="9"/>
            </w: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r>
      <w:tr>
        <w:trPr>
          <w:cantSplit w:val="0"/>
          <w:tblHeader w:val="0"/>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Multiple visible minorities </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175</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w:t>
            </w:r>
          </w:p>
        </w:tc>
      </w:tr>
    </w:tbl>
    <w:p w:rsidR="00000000" w:rsidDel="00000000" w:rsidP="00000000" w:rsidRDefault="00000000" w:rsidRPr="00000000" w14:paraId="000000D6">
      <w:pPr>
        <w:spacing w:after="0" w:line="240" w:lineRule="auto"/>
        <w:jc w:val="both"/>
        <w:rPr>
          <w:rFonts w:ascii="Times New Roman" w:cs="Times New Roman" w:eastAsia="Times New Roman" w:hAnsi="Times New Roman"/>
          <w:sz w:val="16"/>
          <w:szCs w:val="16"/>
        </w:rPr>
      </w:pPr>
      <w:bookmarkStart w:colFirst="0" w:colLast="0" w:name="_heading=h.gjdgxs" w:id="1"/>
      <w:bookmarkEnd w:id="1"/>
      <w:r w:rsidDel="00000000" w:rsidR="00000000" w:rsidRPr="00000000">
        <w:rPr>
          <w:rFonts w:ascii="Times New Roman" w:cs="Times New Roman" w:eastAsia="Times New Roman" w:hAnsi="Times New Roman"/>
          <w:sz w:val="16"/>
          <w:szCs w:val="16"/>
          <w:rtl w:val="0"/>
        </w:rPr>
        <w:t xml:space="preserve">Source: Statistics Canada, 2016 Census of Population - Brandon, CY [Census subdivision]; Statistics Canada. 2013, Brandon, CY, Manitoba (Code 4607062)</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Staying informed on narratives of immigration are important for shelters as settler communities like Brandon involves welcoming immigrants, then integrating them into the fabric of the community. At the same time, not forgetting the indigenous population who are part of the community (Bauder, 2011).</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when it comes to fully meeting the needs of their clients.</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There is also the need to acknowledge that embracing and adopting a new workplace culture change is challenging and somewhat different both for employers and employees who may be used to how things have worked in the past and thereby, new processes are seen as increasing their work burden (Gover, Halinski &amp; Duxbury, 2016; Schein, 2004).</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an extent, it should not be surprising that some marginalized groups are mobilizing themselves to run their own shelters which will meet their needs while ensuring the safety and dignity of those who will access their resources (Government of Canada. 2020; CBC, 2021; Wildes, 2022) - this in no way is a failure or lack of existence of shelters in the various Manitoba cities but rather, the extent to which inclusive practices, language barriers, multicultural needs and religious practices of clients are not recognized when they access shelters. Groups are voicing out some of the barriers and challenges they face when accessing shelters such that it reinforces the need for shelters to do more either through partnerships and or programs. </w:t>
      </w:r>
    </w:p>
    <w:p w:rsidR="00000000" w:rsidDel="00000000" w:rsidP="00000000" w:rsidRDefault="00000000" w:rsidRPr="00000000" w14:paraId="000000DF">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Reflecting on intersectionality - How does this apply to those working in shelters?</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Proponents of this way of examining social relations shed light on the fact that intersecting oppressions do not act independently of each other and as such, must be examined under several factors as well as categories (Crenshaw, 1989; Collins, 2002).</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What this means is that in examining social inequalities for instance, it is necessary to bring in factors such as race, class, gender, sexual and religious orientation, ethnicity, culture among others and what roles they play within specific social contexts to produce inequality.</w:t>
      </w:r>
    </w:p>
    <w:p w:rsidR="00000000" w:rsidDel="00000000" w:rsidP="00000000" w:rsidRDefault="00000000" w:rsidRPr="00000000" w14:paraId="000000E2">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Intersectionality therefore is a perspective which 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as categories. Hence, 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r w:rsidDel="00000000" w:rsidR="00000000" w:rsidRPr="00000000">
        <w:rPr>
          <w:rtl w:val="0"/>
        </w:rPr>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(1990:42) asserts that “Cultural patterns of oppression are not only interrelated, but are bound together and influenced by the intersectional systems of society, such as race, gender, class, and ethnicity”. As such,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structures shape women’s experiences and in turn, are shaped by women.</w:t>
      </w:r>
    </w:p>
    <w:p w:rsidR="00000000" w:rsidDel="00000000" w:rsidP="00000000" w:rsidRDefault="00000000" w:rsidRPr="00000000" w14:paraId="000000E6">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conceptualization of gender and race as structures and not simply individual traits</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rejection of a prior assumption that women constitute a unified category</w:t>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existence of interlocking systems of inequality and oppression</w:t>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recognition of the interplay of social structure and human agency </w:t>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local analyses to understand interlocking inequalities </w:t>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various marginalized groups living in Manitoba’s cities, an intersectional approach helps reveal the various types of lived experiences and their social realities accessing shelters (Collins, 1990).</w:t>
      </w:r>
    </w:p>
    <w:p w:rsidR="00000000" w:rsidDel="00000000" w:rsidP="00000000" w:rsidRDefault="00000000" w:rsidRPr="00000000" w14:paraId="000000E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Bauder, H. (2011). Closing the immigration–Aboriginal parallax gap. </w:t>
      </w:r>
      <w:r w:rsidDel="00000000" w:rsidR="00000000" w:rsidRPr="00000000">
        <w:rPr>
          <w:rFonts w:ascii="Times New Roman" w:cs="Times New Roman" w:eastAsia="Times New Roman" w:hAnsi="Times New Roman"/>
          <w:i w:val="1"/>
          <w:sz w:val="24"/>
          <w:szCs w:val="24"/>
          <w:rtl w:val="0"/>
        </w:rPr>
        <w:t xml:space="preserve">Geoforum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(42), 517-519.</w:t>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Brenner, J. 2014.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Socialist-feminism.” </w:t>
      </w:r>
      <w:r w:rsidDel="00000000" w:rsidR="00000000" w:rsidRPr="00000000">
        <w:rPr>
          <w:rFonts w:ascii="Times New Roman" w:cs="Times New Roman" w:eastAsia="Times New Roman" w:hAnsi="Times New Roman"/>
          <w:i w:val="1"/>
          <w:sz w:val="24"/>
          <w:szCs w:val="24"/>
          <w:rtl w:val="0"/>
        </w:rPr>
        <w:t xml:space="preserve">Socialist Studies / Études socialistes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 (1).</w:t>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CBC (2017). Manitoba, 2036: Statistics Canada projects a more diverse province in the future. Available at:</w:t>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00"/>
            <w:sz w:val="24"/>
            <w:szCs w:val="24"/>
            <w:u w:val="single"/>
            <w:rtl w:val="0"/>
          </w:rPr>
          <w:t xml:space="preserve">https://www.cbc.ca/news/canada/manitoba/manitoba-150-population-projections-1.4186538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CBC (2021). 'You are not alone': New campaign aims to help newcomer women access domestic violence support. Available at: https://www.cbc.ca/news/canada/manitoba/domestic-violence-newcomers-manitoba-stigma-1.6250864</w:t>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P. H. 1993. Toward a new vision: Race, class, and gender as categories of analysis and connection. </w:t>
      </w:r>
      <w:r w:rsidDel="00000000" w:rsidR="00000000" w:rsidRPr="00000000">
        <w:rPr>
          <w:rFonts w:ascii="Times New Roman" w:cs="Times New Roman" w:eastAsia="Times New Roman" w:hAnsi="Times New Roman"/>
          <w:i w:val="1"/>
          <w:sz w:val="24"/>
          <w:szCs w:val="24"/>
          <w:rtl w:val="0"/>
        </w:rPr>
        <w:t xml:space="preserve">Race, Sex &amp; Class</w:t>
      </w:r>
      <w:r w:rsidDel="00000000" w:rsidR="00000000" w:rsidRPr="00000000">
        <w:rPr>
          <w:rFonts w:ascii="Times New Roman" w:cs="Times New Roman" w:eastAsia="Times New Roman" w:hAnsi="Times New Roman"/>
          <w:sz w:val="24"/>
          <w:szCs w:val="24"/>
          <w:rtl w:val="0"/>
        </w:rPr>
        <w:t xml:space="preserve">, 25-45.</w:t>
      </w:r>
    </w:p>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P. H. 2002. </w:t>
      </w:r>
      <w:r w:rsidDel="00000000" w:rsidR="00000000" w:rsidRPr="00000000">
        <w:rPr>
          <w:rFonts w:ascii="Times New Roman" w:cs="Times New Roman" w:eastAsia="Times New Roman" w:hAnsi="Times New Roman"/>
          <w:i w:val="1"/>
          <w:sz w:val="24"/>
          <w:szCs w:val="24"/>
          <w:rtl w:val="0"/>
        </w:rPr>
        <w:t xml:space="preserve">Black feminist thought: Knowledge, consciousness, and the politics of empowerment</w:t>
      </w:r>
      <w:r w:rsidDel="00000000" w:rsidR="00000000" w:rsidRPr="00000000">
        <w:rPr>
          <w:rFonts w:ascii="Times New Roman" w:cs="Times New Roman" w:eastAsia="Times New Roman" w:hAnsi="Times New Roman"/>
          <w:sz w:val="24"/>
          <w:szCs w:val="24"/>
          <w:rtl w:val="0"/>
        </w:rPr>
        <w:t xml:space="preserve">. Routledge.</w:t>
      </w:r>
    </w:p>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Crenshaw, K. 1989. Demarginalizing the Intersection of Race and Sex: A Black Feminist Critique of Antidiscrimination Doctrine, Feminist Theory and Antiracist Politics. University of </w:t>
      </w:r>
      <w:r w:rsidDel="00000000" w:rsidR="00000000" w:rsidRPr="00000000">
        <w:rPr>
          <w:rFonts w:ascii="Times New Roman" w:cs="Times New Roman" w:eastAsia="Times New Roman" w:hAnsi="Times New Roman"/>
          <w:i w:val="1"/>
          <w:sz w:val="24"/>
          <w:szCs w:val="24"/>
          <w:rtl w:val="0"/>
        </w:rPr>
        <w:t xml:space="preserve">Chicago Legal Forum: 139–67</w:t>
      </w: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Distasio, J., Kaufman, A., Carter, T., Galston, R., Leeson-Klym, S., Leo, C., ... &amp; Sylvestre, G. (2015). </w:t>
      </w:r>
      <w:r w:rsidDel="00000000" w:rsidR="00000000" w:rsidRPr="00000000">
        <w:rPr>
          <w:rFonts w:ascii="Times New Roman" w:cs="Times New Roman" w:eastAsia="Times New Roman" w:hAnsi="Times New Roman"/>
          <w:i w:val="1"/>
          <w:sz w:val="24"/>
          <w:szCs w:val="24"/>
          <w:rtl w:val="0"/>
        </w:rPr>
        <w:t xml:space="preserve">The Divided Prairie City: Income Inequality Among Winnipeg's Neighbourhoods, 1970-2010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Ghorayshi, P. (2010). Diversity and interculturalism: Learning from Winnipeg's inner city. </w:t>
      </w:r>
      <w:r w:rsidDel="00000000" w:rsidR="00000000" w:rsidRPr="00000000">
        <w:rPr>
          <w:rFonts w:ascii="Times New Roman" w:cs="Times New Roman" w:eastAsia="Times New Roman" w:hAnsi="Times New Roman"/>
          <w:i w:val="1"/>
          <w:sz w:val="24"/>
          <w:szCs w:val="24"/>
          <w:rtl w:val="0"/>
        </w:rPr>
        <w:t xml:space="preserve">Canadian Journal of Urban Research</w:t>
      </w:r>
      <w:r w:rsidDel="00000000" w:rsidR="00000000" w:rsidRPr="00000000">
        <w:rPr>
          <w:rFonts w:ascii="Times New Roman" w:cs="Times New Roman" w:eastAsia="Times New Roman" w:hAnsi="Times New Roman"/>
          <w:sz w:val="24"/>
          <w:szCs w:val="24"/>
          <w:rtl w:val="0"/>
        </w:rPr>
        <w:t xml:space="preserve">, 89-104.</w:t>
      </w:r>
    </w:p>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 L., Halinski, M., &amp; Duxbury, L. (2016). Is it just me? Exploring perceptions of organizational culture change. </w:t>
      </w:r>
      <w:r w:rsidDel="00000000" w:rsidR="00000000" w:rsidRPr="00000000">
        <w:rPr>
          <w:rFonts w:ascii="Times New Roman" w:cs="Times New Roman" w:eastAsia="Times New Roman" w:hAnsi="Times New Roman"/>
          <w:i w:val="1"/>
          <w:sz w:val="24"/>
          <w:szCs w:val="24"/>
          <w:rtl w:val="0"/>
        </w:rPr>
        <w:t xml:space="preserve">British Journal of Management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(3), 567-582.</w:t>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(2020). Backgounder - Government of Canada announces funding for women’s organizations in Manitoba. Available at: https://www.canada.ca/en/women-gender-equality/news/2019/04/backgounder---government-of-canada-announces-funding-for-womens-organizations-in-manitoba.html</w:t>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Knudsen, S. V. (2006). Intersectionality–A theoretical inspiration in the analysis of minority cultures and identities in textbooks. </w:t>
      </w:r>
      <w:r w:rsidDel="00000000" w:rsidR="00000000" w:rsidRPr="00000000">
        <w:rPr>
          <w:rFonts w:ascii="Times New Roman" w:cs="Times New Roman" w:eastAsia="Times New Roman" w:hAnsi="Times New Roman"/>
          <w:i w:val="1"/>
          <w:sz w:val="24"/>
          <w:szCs w:val="24"/>
          <w:rtl w:val="0"/>
        </w:rPr>
        <w:t xml:space="preserve">Caught in the Web or Lost in the Textbook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(1), 61-76.</w:t>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McCall, L. (2005). The complexity of intersectionality. </w:t>
      </w:r>
      <w:r w:rsidDel="00000000" w:rsidR="00000000" w:rsidRPr="00000000">
        <w:rPr>
          <w:rFonts w:ascii="Times New Roman" w:cs="Times New Roman" w:eastAsia="Times New Roman" w:hAnsi="Times New Roman"/>
          <w:i w:val="1"/>
          <w:sz w:val="24"/>
          <w:szCs w:val="24"/>
          <w:rtl w:val="0"/>
        </w:rPr>
        <w:t xml:space="preserve">Signs: Journal of women in culture and society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(3), 1771-1800.</w:t>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Schein, E. H. (2004). Organizational culture and leadership Third edition.</w:t>
      </w:r>
    </w:p>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Canada. 2013. </w:t>
      </w:r>
      <w:r w:rsidDel="00000000" w:rsidR="00000000" w:rsidRPr="00000000">
        <w:rPr>
          <w:rFonts w:ascii="Times New Roman" w:cs="Times New Roman" w:eastAsia="Times New Roman" w:hAnsi="Times New Roman"/>
          <w:i w:val="1"/>
          <w:sz w:val="24"/>
          <w:szCs w:val="24"/>
          <w:rtl w:val="0"/>
        </w:rPr>
        <w:t xml:space="preserve">Brandon, CY, Manitoba (Code 4607062)</w:t>
      </w:r>
      <w:r w:rsidDel="00000000" w:rsidR="00000000" w:rsidRPr="00000000">
        <w:rPr>
          <w:rFonts w:ascii="Times New Roman" w:cs="Times New Roman" w:eastAsia="Times New Roman" w:hAnsi="Times New Roman"/>
          <w:sz w:val="24"/>
          <w:szCs w:val="24"/>
          <w:rtl w:val="0"/>
        </w:rPr>
        <w:t xml:space="preserve"> (table). </w:t>
      </w:r>
      <w:r w:rsidDel="00000000" w:rsidR="00000000" w:rsidRPr="00000000">
        <w:rPr>
          <w:rFonts w:ascii="Times New Roman" w:cs="Times New Roman" w:eastAsia="Times New Roman" w:hAnsi="Times New Roman"/>
          <w:i w:val="1"/>
          <w:sz w:val="24"/>
          <w:szCs w:val="24"/>
          <w:rtl w:val="0"/>
        </w:rPr>
        <w:t xml:space="preserve">National Household Survey (NHS) Profile</w:t>
      </w:r>
      <w:r w:rsidDel="00000000" w:rsidR="00000000" w:rsidRPr="00000000">
        <w:rPr>
          <w:rFonts w:ascii="Times New Roman" w:cs="Times New Roman" w:eastAsia="Times New Roman" w:hAnsi="Times New Roman"/>
          <w:sz w:val="24"/>
          <w:szCs w:val="24"/>
          <w:rtl w:val="0"/>
        </w:rPr>
        <w:t xml:space="preserve">. 2011 National Household Survey. Statistics Canada Catalogue no. 99-004-XWE. Ottawa. Released September 11, 2013.</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Available at:</w:t>
        <w:br w:type="textWrapping"/>
        <w:t xml:space="preserve">http://www12.statcan.gc.ca/nhs-enm/2011/dp-pd/prof/index.cfm?Lang=E</w:t>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Canada. 2017. </w:t>
      </w:r>
      <w:r w:rsidDel="00000000" w:rsidR="00000000" w:rsidRPr="00000000">
        <w:rPr>
          <w:rFonts w:ascii="Times New Roman" w:cs="Times New Roman" w:eastAsia="Times New Roman" w:hAnsi="Times New Roman"/>
          <w:i w:val="1"/>
          <w:sz w:val="24"/>
          <w:szCs w:val="24"/>
          <w:rtl w:val="0"/>
        </w:rPr>
        <w:t xml:space="preserve">Brandon, CY [Census subdivision], Manitoba and Division No. 7, CDR [Census division], Manitoba</w:t>
      </w:r>
      <w:r w:rsidDel="00000000" w:rsidR="00000000" w:rsidRPr="00000000">
        <w:rPr>
          <w:rFonts w:ascii="Times New Roman" w:cs="Times New Roman" w:eastAsia="Times New Roman" w:hAnsi="Times New Roman"/>
          <w:sz w:val="24"/>
          <w:szCs w:val="24"/>
          <w:rtl w:val="0"/>
        </w:rPr>
        <w:t xml:space="preserve"> (table). </w:t>
      </w:r>
      <w:r w:rsidDel="00000000" w:rsidR="00000000" w:rsidRPr="00000000">
        <w:rPr>
          <w:rFonts w:ascii="Times New Roman" w:cs="Times New Roman" w:eastAsia="Times New Roman" w:hAnsi="Times New Roman"/>
          <w:i w:val="1"/>
          <w:sz w:val="24"/>
          <w:szCs w:val="24"/>
          <w:rtl w:val="0"/>
        </w:rPr>
        <w:t xml:space="preserve">Census Profile</w:t>
      </w:r>
      <w:r w:rsidDel="00000000" w:rsidR="00000000" w:rsidRPr="00000000">
        <w:rPr>
          <w:rFonts w:ascii="Times New Roman" w:cs="Times New Roman" w:eastAsia="Times New Roman" w:hAnsi="Times New Roman"/>
          <w:sz w:val="24"/>
          <w:szCs w:val="24"/>
          <w:rtl w:val="0"/>
        </w:rPr>
        <w:t xml:space="preserve">. 2016 Census. Statistics Canada Catalogue no. 98-316-X2016001. Ottawa. Released November 29, 2017.</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Available at:</w:t>
        <w:br w:type="textWrapping"/>
        <w:t xml:space="preserve">https://www12.statcan.gc.ca/census-recensement/2016/dp-pd/prof/index.cfm?Lang=E</w:t>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Walby, Silvia. 2009. Chapter 7 in </w:t>
      </w:r>
      <w:r w:rsidDel="00000000" w:rsidR="00000000" w:rsidRPr="00000000">
        <w:rPr>
          <w:rFonts w:ascii="Times New Roman" w:cs="Times New Roman" w:eastAsia="Times New Roman" w:hAnsi="Times New Roman"/>
          <w:i w:val="1"/>
          <w:sz w:val="24"/>
          <w:szCs w:val="24"/>
          <w:rtl w:val="0"/>
        </w:rPr>
        <w:t xml:space="preserve">Globalization and inequalities: complexity and contested modernity</w:t>
      </w:r>
      <w:r w:rsidDel="00000000" w:rsidR="00000000" w:rsidRPr="00000000">
        <w:rPr>
          <w:rFonts w:ascii="Times New Roman" w:cs="Times New Roman" w:eastAsia="Times New Roman" w:hAnsi="Times New Roman"/>
          <w:sz w:val="24"/>
          <w:szCs w:val="24"/>
          <w:rtl w:val="0"/>
        </w:rPr>
        <w:t xml:space="preserve">. Thousand Oaks: Sage.</w:t>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Western University Centre for Research &amp; Education on Violence Against Women &amp; Children (CREVAWC) (2012). Issue 35: Gender-Based Violence in Rural, Remote &amp; Northern Communities. Available at: https://www.vawlearningnetwork.ca/our-work/issuebased_newsletters/issue-35/Issue-35.pdf</w:t>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Wildes, A. (2022). Fearing 'second-hand victimization,' some newcomers may not reach out to women's shelters: advocate. Available at: https://www.cbc.ca/news/canada/manitoba/newcomer-immigrant-women-shelters-domestic-violence-1.6309621</w:t>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Zinn, M. B., &amp; Dill, B. T. (1996). Theorizing difference from multiracial feminism. </w:t>
      </w:r>
      <w:r w:rsidDel="00000000" w:rsidR="00000000" w:rsidRPr="00000000">
        <w:rPr>
          <w:rFonts w:ascii="Times New Roman" w:cs="Times New Roman" w:eastAsia="Times New Roman" w:hAnsi="Times New Roman"/>
          <w:i w:val="1"/>
          <w:sz w:val="24"/>
          <w:szCs w:val="24"/>
          <w:rtl w:val="0"/>
        </w:rPr>
        <w:t xml:space="preserve">Feminist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(2), 321-331.</w:t>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Zohar, D. M., &amp; Hofmann, D. A. (2012). Organizational culture and climate.</w:t>
      </w:r>
    </w:p>
    <w:p w:rsidR="00000000" w:rsidDel="00000000" w:rsidP="00000000" w:rsidRDefault="00000000" w:rsidRPr="00000000" w14:paraId="0000015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footerReference r:id="rId9" w:type="default"/>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Based on 2016 Census subdivision: </w:t>
      </w:r>
      <w:r w:rsidDel="00000000" w:rsidR="00000000" w:rsidRPr="00000000">
        <w:rPr>
          <w:rFonts w:ascii="Times New Roman" w:cs="Times New Roman" w:eastAsia="Times New Roman" w:hAnsi="Times New Roman"/>
          <w:i w:val="1"/>
          <w:color w:val="000000"/>
          <w:sz w:val="14"/>
          <w:szCs w:val="14"/>
          <w:rtl w:val="0"/>
        </w:rPr>
        <w:t xml:space="preserve">Census subdivision (CSD</w:t>
      </w:r>
      <w:r w:rsidDel="00000000" w:rsidR="00000000" w:rsidRPr="00000000">
        <w:rPr>
          <w:rFonts w:ascii="Times New Roman" w:cs="Times New Roman" w:eastAsia="Times New Roman" w:hAnsi="Times New Roman"/>
          <w:color w:val="000000"/>
          <w:sz w:val="14"/>
          <w:szCs w:val="14"/>
          <w:rtl w:val="0"/>
        </w:rPr>
        <w:t xml:space="preserve">)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1">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Numbers have been rounded up.</w:t>
      </w:r>
      <w:r w:rsidDel="00000000" w:rsidR="00000000" w:rsidRPr="00000000">
        <w:rPr>
          <w:rtl w:val="0"/>
        </w:rPr>
      </w:r>
    </w:p>
  </w:footnote>
  <w:footnote w:id="2">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Total - Selected places of birth for the immigrant population in private households - 25% sample data.</w:t>
      </w:r>
      <w:r w:rsidDel="00000000" w:rsidR="00000000" w:rsidRPr="00000000">
        <w:rPr>
          <w:rFonts w:ascii="Times New Roman" w:cs="Times New Roman" w:eastAsia="Times New Roman" w:hAnsi="Times New Roman"/>
          <w:color w:val="000000"/>
          <w:sz w:val="14"/>
          <w:szCs w:val="14"/>
          <w:vertAlign w:val="superscript"/>
          <w:rtl w:val="0"/>
        </w:rPr>
        <w:t xml:space="preserve"> </w:t>
      </w:r>
      <w:r w:rsidDel="00000000" w:rsidR="00000000" w:rsidRPr="00000000">
        <w:rPr>
          <w:rtl w:val="0"/>
        </w:rPr>
      </w:r>
    </w:p>
  </w:footnote>
  <w:footnote w:id="3">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'Aboriginal identity' includes persons who are First Nations (North American Indian), Métis or Inuk (Inuit) and/or those who are Registered or Treaty Indians (that is, registered under the </w:t>
      </w:r>
      <w:r w:rsidDel="00000000" w:rsidR="00000000" w:rsidRPr="00000000">
        <w:rPr>
          <w:rFonts w:ascii="Times New Roman" w:cs="Times New Roman" w:eastAsia="Times New Roman" w:hAnsi="Times New Roman"/>
          <w:i w:val="1"/>
          <w:color w:val="000000"/>
          <w:sz w:val="14"/>
          <w:szCs w:val="14"/>
          <w:rtl w:val="0"/>
        </w:rPr>
        <w:t xml:space="preserve">Indian Act</w:t>
      </w:r>
      <w:r w:rsidDel="00000000" w:rsidR="00000000" w:rsidRPr="00000000">
        <w:rPr>
          <w:rFonts w:ascii="Times New Roman" w:cs="Times New Roman" w:eastAsia="Times New Roman" w:hAnsi="Times New Roman"/>
          <w:color w:val="000000"/>
          <w:sz w:val="14"/>
          <w:szCs w:val="14"/>
          <w:rtl w:val="0"/>
        </w:rPr>
        <w:t xml:space="preserve"> of Canada) and/or those who have membership in a First Nation or Indian band. Aboriginal peoples of Canada are defined in the </w:t>
      </w:r>
      <w:r w:rsidDel="00000000" w:rsidR="00000000" w:rsidRPr="00000000">
        <w:rPr>
          <w:rFonts w:ascii="Times New Roman" w:cs="Times New Roman" w:eastAsia="Times New Roman" w:hAnsi="Times New Roman"/>
          <w:i w:val="1"/>
          <w:color w:val="000000"/>
          <w:sz w:val="14"/>
          <w:szCs w:val="14"/>
          <w:rtl w:val="0"/>
        </w:rPr>
        <w:t xml:space="preserve">Constitution Act, 1982</w:t>
      </w:r>
      <w:r w:rsidDel="00000000" w:rsidR="00000000" w:rsidRPr="00000000">
        <w:rPr>
          <w:rFonts w:ascii="Times New Roman" w:cs="Times New Roman" w:eastAsia="Times New Roman" w:hAnsi="Times New Roman"/>
          <w:color w:val="000000"/>
          <w:sz w:val="14"/>
          <w:szCs w:val="14"/>
          <w:rtl w:val="0"/>
        </w:rPr>
        <w:t xml:space="preserve">, section 35 (2) as including the Indian, Inuit and Métis peoples of Canada.</w:t>
      </w:r>
    </w:p>
  </w:footnote>
  <w:footnote w:id="4">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5">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'Canadian citizens' includes persons who are citizens of Canada only and persons who are citizens of Canada and at least one other country.</w:t>
      </w:r>
    </w:p>
  </w:footnote>
  <w:footnote w:id="6">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'Not Canadian citizens' includes persons who are not citizens of Canada. They may be citizens of one or more other countries. Persons who are stateless are included in this category.</w:t>
      </w:r>
    </w:p>
  </w:footnote>
  <w:footnote w:id="7">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NHS 2011 data:  Religion is not limited to formal membership in a religious organization or group. </w:t>
      </w:r>
      <w:r w:rsidDel="00000000" w:rsidR="00000000" w:rsidRPr="00000000">
        <w:rPr>
          <w:rFonts w:ascii="Times New Roman" w:cs="Times New Roman" w:eastAsia="Times New Roman" w:hAnsi="Times New Roman"/>
          <w:i w:val="1"/>
          <w:color w:val="000000"/>
          <w:sz w:val="14"/>
          <w:szCs w:val="14"/>
          <w:rtl w:val="0"/>
        </w:rPr>
        <w:t xml:space="preserve">NHS was a supplementary (voluntary) survey to the 2011 census which replaced the long-form census.</w:t>
      </w:r>
      <w:r w:rsidDel="00000000" w:rsidR="00000000" w:rsidRPr="00000000">
        <w:rPr>
          <w:rFonts w:ascii="Times New Roman" w:cs="Times New Roman" w:eastAsia="Times New Roman" w:hAnsi="Times New Roman"/>
          <w:color w:val="000000"/>
          <w:sz w:val="14"/>
          <w:szCs w:val="14"/>
          <w:rtl w:val="0"/>
        </w:rPr>
        <w:t xml:space="preserve"> </w:t>
      </w:r>
    </w:p>
  </w:footnote>
  <w:footnote w:id="8">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Visible minority refers to whether a person belongs to a visible minority group as defined by the </w:t>
      </w:r>
      <w:r w:rsidDel="00000000" w:rsidR="00000000" w:rsidRPr="00000000">
        <w:rPr>
          <w:rFonts w:ascii="Times New Roman" w:cs="Times New Roman" w:eastAsia="Times New Roman" w:hAnsi="Times New Roman"/>
          <w:i w:val="1"/>
          <w:color w:val="000000"/>
          <w:sz w:val="14"/>
          <w:szCs w:val="14"/>
          <w:rtl w:val="0"/>
        </w:rPr>
        <w:t xml:space="preserve">Employment Equity Act</w:t>
      </w:r>
      <w:r w:rsidDel="00000000" w:rsidR="00000000" w:rsidRPr="00000000">
        <w:rPr>
          <w:rFonts w:ascii="Times New Roman" w:cs="Times New Roman" w:eastAsia="Times New Roman" w:hAnsi="Times New Roman"/>
          <w:color w:val="000000"/>
          <w:sz w:val="14"/>
          <w:szCs w:val="14"/>
          <w:rtl w:val="0"/>
        </w:rPr>
        <w:t xml:space="preserve"> and, if so, the visible minority group to which the person belongs. The </w:t>
      </w:r>
      <w:r w:rsidDel="00000000" w:rsidR="00000000" w:rsidRPr="00000000">
        <w:rPr>
          <w:rFonts w:ascii="Times New Roman" w:cs="Times New Roman" w:eastAsia="Times New Roman" w:hAnsi="Times New Roman"/>
          <w:i w:val="1"/>
          <w:color w:val="000000"/>
          <w:sz w:val="14"/>
          <w:szCs w:val="14"/>
          <w:rtl w:val="0"/>
        </w:rPr>
        <w:t xml:space="preserve">Employment Equity Act</w:t>
      </w:r>
      <w:r w:rsidDel="00000000" w:rsidR="00000000" w:rsidRPr="00000000">
        <w:rPr>
          <w:rFonts w:ascii="Times New Roman" w:cs="Times New Roman" w:eastAsia="Times New Roman" w:hAnsi="Times New Roman"/>
          <w:color w:val="000000"/>
          <w:sz w:val="14"/>
          <w:szCs w:val="14"/>
          <w:rtl w:val="0"/>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For more information on the Visible minority variable, including information on its classification, the questions from which it is derived, data quality and its comparability with other sources of data, please refer to the </w:t>
      </w:r>
      <w:hyperlink r:id="rId1">
        <w:r w:rsidDel="00000000" w:rsidR="00000000" w:rsidRPr="00000000">
          <w:rPr>
            <w:rFonts w:ascii="Times New Roman" w:cs="Times New Roman" w:eastAsia="Times New Roman" w:hAnsi="Times New Roman"/>
            <w:i w:val="1"/>
            <w:color w:val="0000ff"/>
            <w:sz w:val="14"/>
            <w:szCs w:val="14"/>
            <w:u w:val="single"/>
            <w:rtl w:val="0"/>
          </w:rPr>
          <w:t xml:space="preserve">Visible Minority and Population Group Reference Guide, Census of Population, 2016</w:t>
        </w:r>
      </w:hyperlink>
      <w:r w:rsidDel="00000000" w:rsidR="00000000" w:rsidRPr="00000000">
        <w:rPr>
          <w:rFonts w:ascii="Times New Roman" w:cs="Times New Roman" w:eastAsia="Times New Roman" w:hAnsi="Times New Roman"/>
          <w:color w:val="000000"/>
          <w:sz w:val="14"/>
          <w:szCs w:val="14"/>
          <w:rtl w:val="0"/>
        </w:rPr>
        <w:t xml:space="preserve">.</w:t>
      </w:r>
    </w:p>
  </w:footnote>
  <w:footnote w:id="9">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4"/>
          <w:szCs w:val="14"/>
          <w:rtl w:val="0"/>
        </w:rPr>
        <w:t xml:space="preserve"> The abbreviation 'n.i.e.' means 'not included elsewhere.' Includes persons with a write-in response such as 'Guyanese,' 'West Indian,' 'Tibetan,' 'Polynesian,' 'Pacific Islander,' etc.</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2371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A52FCC"/>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52FCC"/>
    <w:rPr>
      <w:sz w:val="20"/>
      <w:szCs w:val="20"/>
    </w:rPr>
  </w:style>
  <w:style w:type="character" w:styleId="FootnoteReference">
    <w:name w:val="footnote reference"/>
    <w:basedOn w:val="DefaultParagraphFont"/>
    <w:uiPriority w:val="99"/>
    <w:semiHidden w:val="1"/>
    <w:unhideWhenUsed w:val="1"/>
    <w:rsid w:val="00A52FCC"/>
    <w:rPr>
      <w:vertAlign w:val="superscript"/>
    </w:rPr>
  </w:style>
  <w:style w:type="paragraph" w:styleId="NormalWeb">
    <w:name w:val="Normal (Web)"/>
    <w:basedOn w:val="Normal"/>
    <w:uiPriority w:val="99"/>
    <w:semiHidden w:val="1"/>
    <w:unhideWhenUsed w:val="1"/>
    <w:rsid w:val="00A52FCC"/>
    <w:rPr>
      <w:rFonts w:ascii="Times New Roman" w:cs="Times New Roman" w:hAnsi="Times New Roman"/>
      <w:sz w:val="24"/>
      <w:szCs w:val="24"/>
    </w:rPr>
  </w:style>
  <w:style w:type="character" w:styleId="Hyperlink">
    <w:name w:val="Hyperlink"/>
    <w:basedOn w:val="DefaultParagraphFont"/>
    <w:uiPriority w:val="99"/>
    <w:unhideWhenUsed w:val="1"/>
    <w:rsid w:val="00A52FCC"/>
    <w:rPr>
      <w:color w:val="0000ff" w:themeColor="hyperlink"/>
      <w:u w:val="single"/>
    </w:rPr>
  </w:style>
  <w:style w:type="paragraph" w:styleId="ListParagraph">
    <w:name w:val="List Paragraph"/>
    <w:basedOn w:val="Normal"/>
    <w:uiPriority w:val="34"/>
    <w:qFormat w:val="1"/>
    <w:rsid w:val="005810D4"/>
    <w:pPr>
      <w:ind w:left="720"/>
      <w:contextualSpacing w:val="1"/>
    </w:pPr>
  </w:style>
  <w:style w:type="paragraph" w:styleId="NoSpacing">
    <w:name w:val="No Spacing"/>
    <w:uiPriority w:val="1"/>
    <w:qFormat w:val="1"/>
    <w:rsid w:val="00012FB8"/>
    <w:pPr>
      <w:spacing w:after="0" w:line="240" w:lineRule="auto"/>
    </w:pPr>
  </w:style>
  <w:style w:type="paragraph" w:styleId="Header">
    <w:name w:val="header"/>
    <w:basedOn w:val="Normal"/>
    <w:link w:val="HeaderChar"/>
    <w:uiPriority w:val="99"/>
    <w:unhideWhenUsed w:val="1"/>
    <w:rsid w:val="00C47C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7C24"/>
  </w:style>
  <w:style w:type="paragraph" w:styleId="Footer">
    <w:name w:val="footer"/>
    <w:basedOn w:val="Normal"/>
    <w:link w:val="FooterChar"/>
    <w:uiPriority w:val="99"/>
    <w:unhideWhenUsed w:val="1"/>
    <w:rsid w:val="00C47C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7C2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vri90i8RqdME+f411bJGtlb0g==">AMUW2mXERLjcybCPt17V2QNkVs2qTt/I/90HCn0b4hnNElMeLiwi13JWHncdHZu/nW+3rp074drE0SjyQpfmc6lzYSsYyn6aIhUbnxnTFkMZ9fA4Qpm2TDKHvwi4w86pG4Fhhj7+JiyK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2022-01-22T21:45:00Z</dcterms:created>
  <dc:creator>Sally Effie Ogoe</dc:creator>
</cp:coreProperties>
</file>